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150" w:type="dxa"/>
        <w:tblCellSpacing w:w="0" w:type="dxa"/>
        <w:tblCellMar>
          <w:left w:w="0" w:type="dxa"/>
          <w:right w:w="0" w:type="dxa"/>
        </w:tblCellMar>
        <w:tblLook w:val="04A0" w:firstRow="1" w:lastRow="0" w:firstColumn="1" w:lastColumn="0" w:noHBand="0" w:noVBand="1"/>
      </w:tblPr>
      <w:tblGrid>
        <w:gridCol w:w="980"/>
        <w:gridCol w:w="2430"/>
        <w:gridCol w:w="1029"/>
        <w:gridCol w:w="2552"/>
        <w:gridCol w:w="1028"/>
        <w:gridCol w:w="4131"/>
      </w:tblGrid>
      <w:tr w:rsidR="00507C3D" w:rsidRPr="00507C3D" w14:paraId="1B71DE0A" w14:textId="77777777" w:rsidTr="00507C3D">
        <w:trPr>
          <w:tblCellSpacing w:w="0" w:type="dxa"/>
        </w:trPr>
        <w:tc>
          <w:tcPr>
            <w:tcW w:w="1215" w:type="dxa"/>
            <w:tcBorders>
              <w:top w:val="nil"/>
              <w:left w:val="nil"/>
              <w:bottom w:val="nil"/>
              <w:right w:val="nil"/>
            </w:tcBorders>
            <w:hideMark/>
          </w:tcPr>
          <w:p w14:paraId="6C2BB838" w14:textId="77777777" w:rsidR="00507C3D" w:rsidRPr="00507C3D" w:rsidRDefault="00507C3D" w:rsidP="00507C3D">
            <w:pPr>
              <w:widowControl/>
              <w:spacing w:line="375" w:lineRule="atLeast"/>
              <w:jc w:val="left"/>
              <w:rPr>
                <w:rFonts w:ascii="宋体" w:eastAsia="宋体" w:hAnsi="宋体" w:cs="宋体"/>
                <w:b/>
                <w:bCs/>
                <w:color w:val="4B4B4B"/>
                <w:kern w:val="0"/>
                <w:sz w:val="28"/>
                <w:szCs w:val="28"/>
              </w:rPr>
            </w:pPr>
            <w:r w:rsidRPr="00507C3D">
              <w:rPr>
                <w:rFonts w:ascii="宋体" w:eastAsia="宋体" w:hAnsi="宋体" w:cs="宋体" w:hint="eastAsia"/>
                <w:b/>
                <w:bCs/>
                <w:color w:val="4B4B4B"/>
                <w:kern w:val="0"/>
                <w:sz w:val="28"/>
                <w:szCs w:val="28"/>
              </w:rPr>
              <w:t>信息名称：</w:t>
            </w:r>
          </w:p>
        </w:tc>
        <w:tc>
          <w:tcPr>
            <w:tcW w:w="0" w:type="auto"/>
            <w:gridSpan w:val="5"/>
            <w:tcBorders>
              <w:top w:val="nil"/>
              <w:left w:val="nil"/>
              <w:bottom w:val="nil"/>
              <w:right w:val="nil"/>
            </w:tcBorders>
            <w:hideMark/>
          </w:tcPr>
          <w:p w14:paraId="64473966" w14:textId="77777777" w:rsidR="00507C3D" w:rsidRPr="00507C3D" w:rsidRDefault="00507C3D" w:rsidP="00507C3D">
            <w:pPr>
              <w:widowControl/>
              <w:spacing w:line="375" w:lineRule="atLeast"/>
              <w:jc w:val="left"/>
              <w:rPr>
                <w:rFonts w:ascii="宋体" w:eastAsia="宋体" w:hAnsi="宋体" w:cs="宋体" w:hint="eastAsia"/>
                <w:color w:val="4B4B4B"/>
                <w:kern w:val="0"/>
                <w:sz w:val="28"/>
                <w:szCs w:val="28"/>
              </w:rPr>
            </w:pPr>
            <w:r w:rsidRPr="00507C3D">
              <w:rPr>
                <w:rFonts w:ascii="宋体" w:eastAsia="宋体" w:hAnsi="宋体" w:cs="宋体" w:hint="eastAsia"/>
                <w:color w:val="4B4B4B"/>
                <w:kern w:val="0"/>
                <w:sz w:val="28"/>
                <w:szCs w:val="28"/>
              </w:rPr>
              <w:t>教育部办公厅关于实施一流本科专业建设“双万计划”的通知</w:t>
            </w:r>
          </w:p>
        </w:tc>
      </w:tr>
      <w:tr w:rsidR="00507C3D" w:rsidRPr="00507C3D" w14:paraId="6D0CC941" w14:textId="77777777" w:rsidTr="00507C3D">
        <w:trPr>
          <w:tblCellSpacing w:w="0" w:type="dxa"/>
        </w:trPr>
        <w:tc>
          <w:tcPr>
            <w:tcW w:w="1215" w:type="dxa"/>
            <w:tcBorders>
              <w:top w:val="nil"/>
              <w:left w:val="nil"/>
              <w:bottom w:val="nil"/>
              <w:right w:val="nil"/>
            </w:tcBorders>
            <w:hideMark/>
          </w:tcPr>
          <w:p w14:paraId="7A5FF341" w14:textId="77777777" w:rsidR="00507C3D" w:rsidRPr="00507C3D" w:rsidRDefault="00507C3D" w:rsidP="00507C3D">
            <w:pPr>
              <w:widowControl/>
              <w:spacing w:line="375" w:lineRule="atLeast"/>
              <w:jc w:val="left"/>
              <w:rPr>
                <w:rFonts w:ascii="宋体" w:eastAsia="宋体" w:hAnsi="宋体" w:cs="宋体" w:hint="eastAsia"/>
                <w:b/>
                <w:bCs/>
                <w:color w:val="4B4B4B"/>
                <w:kern w:val="0"/>
                <w:sz w:val="28"/>
                <w:szCs w:val="28"/>
              </w:rPr>
            </w:pPr>
            <w:r w:rsidRPr="00507C3D">
              <w:rPr>
                <w:rFonts w:ascii="宋体" w:eastAsia="宋体" w:hAnsi="宋体" w:cs="宋体" w:hint="eastAsia"/>
                <w:b/>
                <w:bCs/>
                <w:color w:val="4B4B4B"/>
                <w:kern w:val="0"/>
                <w:sz w:val="28"/>
                <w:szCs w:val="28"/>
              </w:rPr>
              <w:t>信息索引：</w:t>
            </w:r>
          </w:p>
        </w:tc>
        <w:tc>
          <w:tcPr>
            <w:tcW w:w="1000" w:type="pct"/>
            <w:tcBorders>
              <w:top w:val="nil"/>
              <w:left w:val="nil"/>
              <w:bottom w:val="nil"/>
              <w:right w:val="nil"/>
            </w:tcBorders>
            <w:hideMark/>
          </w:tcPr>
          <w:p w14:paraId="4E040BB5" w14:textId="77777777" w:rsidR="00507C3D" w:rsidRPr="00507C3D" w:rsidRDefault="00507C3D" w:rsidP="00507C3D">
            <w:pPr>
              <w:widowControl/>
              <w:spacing w:line="375" w:lineRule="atLeast"/>
              <w:jc w:val="left"/>
              <w:rPr>
                <w:rFonts w:ascii="宋体" w:eastAsia="宋体" w:hAnsi="宋体" w:cs="宋体" w:hint="eastAsia"/>
                <w:color w:val="4B4B4B"/>
                <w:kern w:val="0"/>
                <w:sz w:val="28"/>
                <w:szCs w:val="28"/>
              </w:rPr>
            </w:pPr>
            <w:r w:rsidRPr="00507C3D">
              <w:rPr>
                <w:rFonts w:ascii="宋体" w:eastAsia="宋体" w:hAnsi="宋体" w:cs="宋体" w:hint="eastAsia"/>
                <w:color w:val="4B4B4B"/>
                <w:kern w:val="0"/>
                <w:sz w:val="28"/>
                <w:szCs w:val="28"/>
              </w:rPr>
              <w:t>360A08-07-2019-0014-1</w:t>
            </w:r>
          </w:p>
        </w:tc>
        <w:tc>
          <w:tcPr>
            <w:tcW w:w="1215" w:type="dxa"/>
            <w:tcBorders>
              <w:top w:val="nil"/>
              <w:left w:val="nil"/>
              <w:bottom w:val="nil"/>
              <w:right w:val="nil"/>
            </w:tcBorders>
            <w:hideMark/>
          </w:tcPr>
          <w:p w14:paraId="0C420BC7" w14:textId="77777777" w:rsidR="00507C3D" w:rsidRPr="00507C3D" w:rsidRDefault="00507C3D" w:rsidP="00507C3D">
            <w:pPr>
              <w:widowControl/>
              <w:spacing w:line="375" w:lineRule="atLeast"/>
              <w:jc w:val="left"/>
              <w:rPr>
                <w:rFonts w:ascii="宋体" w:eastAsia="宋体" w:hAnsi="宋体" w:cs="宋体" w:hint="eastAsia"/>
                <w:b/>
                <w:bCs/>
                <w:color w:val="4B4B4B"/>
                <w:kern w:val="0"/>
                <w:sz w:val="28"/>
                <w:szCs w:val="28"/>
              </w:rPr>
            </w:pPr>
            <w:r w:rsidRPr="00507C3D">
              <w:rPr>
                <w:rFonts w:ascii="宋体" w:eastAsia="宋体" w:hAnsi="宋体" w:cs="宋体" w:hint="eastAsia"/>
                <w:b/>
                <w:bCs/>
                <w:color w:val="4B4B4B"/>
                <w:kern w:val="0"/>
                <w:sz w:val="28"/>
                <w:szCs w:val="28"/>
              </w:rPr>
              <w:t>生成日期：</w:t>
            </w:r>
          </w:p>
        </w:tc>
        <w:tc>
          <w:tcPr>
            <w:tcW w:w="1050" w:type="pct"/>
            <w:tcBorders>
              <w:top w:val="nil"/>
              <w:left w:val="nil"/>
              <w:bottom w:val="nil"/>
              <w:right w:val="nil"/>
            </w:tcBorders>
            <w:hideMark/>
          </w:tcPr>
          <w:p w14:paraId="5CCA8FC8" w14:textId="77777777" w:rsidR="00507C3D" w:rsidRPr="00507C3D" w:rsidRDefault="00507C3D" w:rsidP="00507C3D">
            <w:pPr>
              <w:widowControl/>
              <w:spacing w:line="375" w:lineRule="atLeast"/>
              <w:jc w:val="left"/>
              <w:rPr>
                <w:rFonts w:ascii="宋体" w:eastAsia="宋体" w:hAnsi="宋体" w:cs="宋体" w:hint="eastAsia"/>
                <w:color w:val="4B4B4B"/>
                <w:kern w:val="0"/>
                <w:sz w:val="28"/>
                <w:szCs w:val="28"/>
              </w:rPr>
            </w:pPr>
            <w:r w:rsidRPr="00507C3D">
              <w:rPr>
                <w:rFonts w:ascii="宋体" w:eastAsia="宋体" w:hAnsi="宋体" w:cs="宋体" w:hint="eastAsia"/>
                <w:color w:val="4B4B4B"/>
                <w:kern w:val="0"/>
                <w:sz w:val="28"/>
                <w:szCs w:val="28"/>
              </w:rPr>
              <w:t>2019-04-04</w:t>
            </w:r>
          </w:p>
        </w:tc>
        <w:tc>
          <w:tcPr>
            <w:tcW w:w="1215" w:type="dxa"/>
            <w:tcBorders>
              <w:top w:val="nil"/>
              <w:left w:val="nil"/>
              <w:bottom w:val="nil"/>
              <w:right w:val="nil"/>
            </w:tcBorders>
            <w:hideMark/>
          </w:tcPr>
          <w:p w14:paraId="61FAD83A" w14:textId="77777777" w:rsidR="00507C3D" w:rsidRPr="00507C3D" w:rsidRDefault="00507C3D" w:rsidP="00507C3D">
            <w:pPr>
              <w:widowControl/>
              <w:spacing w:line="375" w:lineRule="atLeast"/>
              <w:jc w:val="left"/>
              <w:rPr>
                <w:rFonts w:ascii="宋体" w:eastAsia="宋体" w:hAnsi="宋体" w:cs="宋体" w:hint="eastAsia"/>
                <w:b/>
                <w:bCs/>
                <w:color w:val="4B4B4B"/>
                <w:kern w:val="0"/>
                <w:sz w:val="28"/>
                <w:szCs w:val="28"/>
              </w:rPr>
            </w:pPr>
            <w:r w:rsidRPr="00507C3D">
              <w:rPr>
                <w:rFonts w:ascii="宋体" w:eastAsia="宋体" w:hAnsi="宋体" w:cs="宋体" w:hint="eastAsia"/>
                <w:b/>
                <w:bCs/>
                <w:color w:val="4B4B4B"/>
                <w:kern w:val="0"/>
                <w:sz w:val="28"/>
                <w:szCs w:val="28"/>
              </w:rPr>
              <w:t>发文机构：</w:t>
            </w:r>
          </w:p>
        </w:tc>
        <w:tc>
          <w:tcPr>
            <w:tcW w:w="1700" w:type="pct"/>
            <w:tcBorders>
              <w:top w:val="nil"/>
              <w:left w:val="nil"/>
              <w:bottom w:val="nil"/>
              <w:right w:val="nil"/>
            </w:tcBorders>
            <w:hideMark/>
          </w:tcPr>
          <w:p w14:paraId="6F460A79" w14:textId="77777777" w:rsidR="00507C3D" w:rsidRPr="00507C3D" w:rsidRDefault="00507C3D" w:rsidP="00507C3D">
            <w:pPr>
              <w:widowControl/>
              <w:spacing w:line="375" w:lineRule="atLeast"/>
              <w:jc w:val="left"/>
              <w:rPr>
                <w:rFonts w:ascii="宋体" w:eastAsia="宋体" w:hAnsi="宋体" w:cs="宋体" w:hint="eastAsia"/>
                <w:color w:val="4B4B4B"/>
                <w:kern w:val="0"/>
                <w:sz w:val="28"/>
                <w:szCs w:val="28"/>
              </w:rPr>
            </w:pPr>
            <w:r w:rsidRPr="00507C3D">
              <w:rPr>
                <w:rFonts w:ascii="宋体" w:eastAsia="宋体" w:hAnsi="宋体" w:cs="宋体" w:hint="eastAsia"/>
                <w:color w:val="4B4B4B"/>
                <w:kern w:val="0"/>
                <w:sz w:val="28"/>
                <w:szCs w:val="28"/>
              </w:rPr>
              <w:t>教育部办公厅</w:t>
            </w:r>
          </w:p>
        </w:tc>
      </w:tr>
      <w:tr w:rsidR="00507C3D" w:rsidRPr="00507C3D" w14:paraId="3430982C" w14:textId="77777777" w:rsidTr="00507C3D">
        <w:trPr>
          <w:tblCellSpacing w:w="0" w:type="dxa"/>
        </w:trPr>
        <w:tc>
          <w:tcPr>
            <w:tcW w:w="1215" w:type="dxa"/>
            <w:tcBorders>
              <w:top w:val="nil"/>
              <w:left w:val="nil"/>
              <w:bottom w:val="nil"/>
              <w:right w:val="nil"/>
            </w:tcBorders>
            <w:hideMark/>
          </w:tcPr>
          <w:p w14:paraId="1E91A1D9" w14:textId="77777777" w:rsidR="00507C3D" w:rsidRPr="00507C3D" w:rsidRDefault="00507C3D" w:rsidP="00507C3D">
            <w:pPr>
              <w:widowControl/>
              <w:spacing w:line="375" w:lineRule="atLeast"/>
              <w:jc w:val="left"/>
              <w:rPr>
                <w:rFonts w:ascii="宋体" w:eastAsia="宋体" w:hAnsi="宋体" w:cs="宋体" w:hint="eastAsia"/>
                <w:b/>
                <w:bCs/>
                <w:color w:val="4B4B4B"/>
                <w:kern w:val="0"/>
                <w:sz w:val="28"/>
                <w:szCs w:val="28"/>
              </w:rPr>
            </w:pPr>
            <w:r w:rsidRPr="00507C3D">
              <w:rPr>
                <w:rFonts w:ascii="宋体" w:eastAsia="宋体" w:hAnsi="宋体" w:cs="宋体" w:hint="eastAsia"/>
                <w:b/>
                <w:bCs/>
                <w:color w:val="4B4B4B"/>
                <w:kern w:val="0"/>
                <w:sz w:val="28"/>
                <w:szCs w:val="28"/>
              </w:rPr>
              <w:t>发文字号：</w:t>
            </w:r>
          </w:p>
        </w:tc>
        <w:tc>
          <w:tcPr>
            <w:tcW w:w="0" w:type="auto"/>
            <w:tcBorders>
              <w:top w:val="nil"/>
              <w:left w:val="nil"/>
              <w:bottom w:val="nil"/>
              <w:right w:val="nil"/>
            </w:tcBorders>
            <w:hideMark/>
          </w:tcPr>
          <w:p w14:paraId="53FAD693" w14:textId="77777777" w:rsidR="00507C3D" w:rsidRPr="00507C3D" w:rsidRDefault="00507C3D" w:rsidP="00507C3D">
            <w:pPr>
              <w:widowControl/>
              <w:spacing w:line="375" w:lineRule="atLeast"/>
              <w:jc w:val="left"/>
              <w:rPr>
                <w:rFonts w:ascii="宋体" w:eastAsia="宋体" w:hAnsi="宋体" w:cs="宋体" w:hint="eastAsia"/>
                <w:color w:val="4B4B4B"/>
                <w:kern w:val="0"/>
                <w:sz w:val="28"/>
                <w:szCs w:val="28"/>
              </w:rPr>
            </w:pPr>
            <w:proofErr w:type="gramStart"/>
            <w:r w:rsidRPr="00507C3D">
              <w:rPr>
                <w:rFonts w:ascii="宋体" w:eastAsia="宋体" w:hAnsi="宋体" w:cs="宋体" w:hint="eastAsia"/>
                <w:color w:val="4B4B4B"/>
                <w:kern w:val="0"/>
                <w:sz w:val="28"/>
                <w:szCs w:val="28"/>
              </w:rPr>
              <w:t>教高厅函</w:t>
            </w:r>
            <w:proofErr w:type="gramEnd"/>
            <w:r w:rsidRPr="00507C3D">
              <w:rPr>
                <w:rFonts w:ascii="宋体" w:eastAsia="宋体" w:hAnsi="宋体" w:cs="宋体" w:hint="eastAsia"/>
                <w:color w:val="4B4B4B"/>
                <w:kern w:val="0"/>
                <w:sz w:val="28"/>
                <w:szCs w:val="28"/>
              </w:rPr>
              <w:t>〔2019〕18号</w:t>
            </w:r>
          </w:p>
        </w:tc>
        <w:tc>
          <w:tcPr>
            <w:tcW w:w="1215" w:type="dxa"/>
            <w:tcBorders>
              <w:top w:val="nil"/>
              <w:left w:val="nil"/>
              <w:bottom w:val="nil"/>
              <w:right w:val="nil"/>
            </w:tcBorders>
            <w:hideMark/>
          </w:tcPr>
          <w:p w14:paraId="5906AFF3" w14:textId="77777777" w:rsidR="00507C3D" w:rsidRPr="00507C3D" w:rsidRDefault="00507C3D" w:rsidP="00507C3D">
            <w:pPr>
              <w:widowControl/>
              <w:spacing w:line="375" w:lineRule="atLeast"/>
              <w:jc w:val="left"/>
              <w:rPr>
                <w:rFonts w:ascii="宋体" w:eastAsia="宋体" w:hAnsi="宋体" w:cs="宋体" w:hint="eastAsia"/>
                <w:b/>
                <w:bCs/>
                <w:color w:val="4B4B4B"/>
                <w:kern w:val="0"/>
                <w:sz w:val="28"/>
                <w:szCs w:val="28"/>
              </w:rPr>
            </w:pPr>
            <w:r w:rsidRPr="00507C3D">
              <w:rPr>
                <w:rFonts w:ascii="宋体" w:eastAsia="宋体" w:hAnsi="宋体" w:cs="宋体" w:hint="eastAsia"/>
                <w:b/>
                <w:bCs/>
                <w:color w:val="4B4B4B"/>
                <w:kern w:val="0"/>
                <w:sz w:val="28"/>
                <w:szCs w:val="28"/>
              </w:rPr>
              <w:t>信息类别：</w:t>
            </w:r>
          </w:p>
        </w:tc>
        <w:tc>
          <w:tcPr>
            <w:tcW w:w="0" w:type="auto"/>
            <w:gridSpan w:val="3"/>
            <w:tcBorders>
              <w:top w:val="nil"/>
              <w:left w:val="nil"/>
              <w:bottom w:val="nil"/>
              <w:right w:val="nil"/>
            </w:tcBorders>
            <w:hideMark/>
          </w:tcPr>
          <w:p w14:paraId="7098E25A" w14:textId="77777777" w:rsidR="00507C3D" w:rsidRPr="00507C3D" w:rsidRDefault="00507C3D" w:rsidP="00507C3D">
            <w:pPr>
              <w:widowControl/>
              <w:spacing w:line="375" w:lineRule="atLeast"/>
              <w:jc w:val="left"/>
              <w:rPr>
                <w:rFonts w:ascii="宋体" w:eastAsia="宋体" w:hAnsi="宋体" w:cs="宋体" w:hint="eastAsia"/>
                <w:color w:val="4B4B4B"/>
                <w:kern w:val="0"/>
                <w:sz w:val="28"/>
                <w:szCs w:val="28"/>
              </w:rPr>
            </w:pPr>
            <w:r w:rsidRPr="00507C3D">
              <w:rPr>
                <w:rFonts w:ascii="宋体" w:eastAsia="宋体" w:hAnsi="宋体" w:cs="宋体" w:hint="eastAsia"/>
                <w:color w:val="4B4B4B"/>
                <w:kern w:val="0"/>
                <w:sz w:val="28"/>
                <w:szCs w:val="28"/>
              </w:rPr>
              <w:t>高等教育</w:t>
            </w:r>
          </w:p>
        </w:tc>
      </w:tr>
      <w:tr w:rsidR="00507C3D" w:rsidRPr="00507C3D" w14:paraId="30A7318A" w14:textId="77777777" w:rsidTr="00507C3D">
        <w:trPr>
          <w:tblCellSpacing w:w="0" w:type="dxa"/>
        </w:trPr>
        <w:tc>
          <w:tcPr>
            <w:tcW w:w="1215" w:type="dxa"/>
            <w:tcBorders>
              <w:top w:val="nil"/>
              <w:left w:val="nil"/>
              <w:bottom w:val="nil"/>
              <w:right w:val="nil"/>
            </w:tcBorders>
            <w:hideMark/>
          </w:tcPr>
          <w:p w14:paraId="474AA507" w14:textId="77777777" w:rsidR="00507C3D" w:rsidRPr="00507C3D" w:rsidRDefault="00507C3D" w:rsidP="00507C3D">
            <w:pPr>
              <w:widowControl/>
              <w:spacing w:line="375" w:lineRule="atLeast"/>
              <w:jc w:val="left"/>
              <w:rPr>
                <w:rFonts w:ascii="宋体" w:eastAsia="宋体" w:hAnsi="宋体" w:cs="宋体" w:hint="eastAsia"/>
                <w:b/>
                <w:bCs/>
                <w:color w:val="4B4B4B"/>
                <w:kern w:val="0"/>
                <w:sz w:val="28"/>
                <w:szCs w:val="28"/>
              </w:rPr>
            </w:pPr>
            <w:r w:rsidRPr="00507C3D">
              <w:rPr>
                <w:rFonts w:ascii="宋体" w:eastAsia="宋体" w:hAnsi="宋体" w:cs="宋体" w:hint="eastAsia"/>
                <w:b/>
                <w:bCs/>
                <w:color w:val="4B4B4B"/>
                <w:kern w:val="0"/>
                <w:sz w:val="28"/>
                <w:szCs w:val="28"/>
              </w:rPr>
              <w:t>内容概述：</w:t>
            </w:r>
          </w:p>
        </w:tc>
        <w:tc>
          <w:tcPr>
            <w:tcW w:w="0" w:type="auto"/>
            <w:gridSpan w:val="5"/>
            <w:tcBorders>
              <w:top w:val="nil"/>
              <w:left w:val="nil"/>
              <w:bottom w:val="nil"/>
              <w:right w:val="nil"/>
            </w:tcBorders>
            <w:hideMark/>
          </w:tcPr>
          <w:p w14:paraId="15A9DD9B" w14:textId="77777777" w:rsidR="00507C3D" w:rsidRPr="00507C3D" w:rsidRDefault="00507C3D" w:rsidP="00507C3D">
            <w:pPr>
              <w:widowControl/>
              <w:spacing w:line="375" w:lineRule="atLeast"/>
              <w:jc w:val="left"/>
              <w:rPr>
                <w:rFonts w:ascii="宋体" w:eastAsia="宋体" w:hAnsi="宋体" w:cs="宋体" w:hint="eastAsia"/>
                <w:color w:val="4B4B4B"/>
                <w:kern w:val="0"/>
                <w:sz w:val="28"/>
                <w:szCs w:val="28"/>
              </w:rPr>
            </w:pPr>
            <w:r w:rsidRPr="00507C3D">
              <w:rPr>
                <w:rFonts w:ascii="宋体" w:eastAsia="宋体" w:hAnsi="宋体" w:cs="宋体" w:hint="eastAsia"/>
                <w:color w:val="4B4B4B"/>
                <w:kern w:val="0"/>
                <w:sz w:val="28"/>
                <w:szCs w:val="28"/>
              </w:rPr>
              <w:t>教育部办公厅发布《关于实施一流本科专业建设“双万计划”的通知》。</w:t>
            </w:r>
          </w:p>
        </w:tc>
      </w:tr>
    </w:tbl>
    <w:p w14:paraId="192457BF" w14:textId="77777777" w:rsidR="00507C3D" w:rsidRPr="00507C3D" w:rsidRDefault="00507C3D" w:rsidP="00507C3D">
      <w:pPr>
        <w:widowControl/>
        <w:jc w:val="center"/>
        <w:outlineLvl w:val="0"/>
        <w:rPr>
          <w:rFonts w:ascii="微软雅黑" w:eastAsia="微软雅黑" w:hAnsi="微软雅黑" w:cs="宋体" w:hint="eastAsia"/>
          <w:b/>
          <w:bCs/>
          <w:color w:val="4B4B4B"/>
          <w:kern w:val="36"/>
          <w:sz w:val="28"/>
          <w:szCs w:val="28"/>
        </w:rPr>
      </w:pPr>
      <w:r w:rsidRPr="00507C3D">
        <w:rPr>
          <w:rFonts w:ascii="微软雅黑" w:eastAsia="微软雅黑" w:hAnsi="微软雅黑" w:cs="宋体" w:hint="eastAsia"/>
          <w:b/>
          <w:bCs/>
          <w:color w:val="4B4B4B"/>
          <w:kern w:val="36"/>
          <w:sz w:val="28"/>
          <w:szCs w:val="28"/>
        </w:rPr>
        <w:t>教育部办公厅关于实施一流本科专业建设</w:t>
      </w:r>
      <w:r w:rsidRPr="00507C3D">
        <w:rPr>
          <w:rFonts w:ascii="微软雅黑" w:eastAsia="微软雅黑" w:hAnsi="微软雅黑" w:cs="宋体" w:hint="eastAsia"/>
          <w:b/>
          <w:bCs/>
          <w:color w:val="4B4B4B"/>
          <w:kern w:val="36"/>
          <w:sz w:val="28"/>
          <w:szCs w:val="28"/>
        </w:rPr>
        <w:br/>
        <w:t>“双万计划”的通知</w:t>
      </w:r>
    </w:p>
    <w:p w14:paraId="22470159" w14:textId="77777777" w:rsidR="00507C3D" w:rsidRPr="00507C3D" w:rsidRDefault="00507C3D" w:rsidP="00507C3D">
      <w:pPr>
        <w:widowControl/>
        <w:spacing w:line="480" w:lineRule="atLeast"/>
        <w:jc w:val="right"/>
        <w:rPr>
          <w:rFonts w:ascii="微软雅黑" w:eastAsia="微软雅黑" w:hAnsi="微软雅黑" w:cs="宋体" w:hint="eastAsia"/>
          <w:color w:val="4B4B4B"/>
          <w:kern w:val="0"/>
          <w:sz w:val="28"/>
          <w:szCs w:val="28"/>
        </w:rPr>
      </w:pPr>
      <w:proofErr w:type="gramStart"/>
      <w:r w:rsidRPr="00507C3D">
        <w:rPr>
          <w:rFonts w:ascii="微软雅黑" w:eastAsia="微软雅黑" w:hAnsi="微软雅黑" w:cs="宋体" w:hint="eastAsia"/>
          <w:color w:val="4B4B4B"/>
          <w:kern w:val="0"/>
          <w:sz w:val="28"/>
          <w:szCs w:val="28"/>
        </w:rPr>
        <w:t>教高厅函</w:t>
      </w:r>
      <w:proofErr w:type="gramEnd"/>
      <w:r w:rsidRPr="00507C3D">
        <w:rPr>
          <w:rFonts w:ascii="微软雅黑" w:eastAsia="微软雅黑" w:hAnsi="微软雅黑" w:cs="宋体" w:hint="eastAsia"/>
          <w:color w:val="4B4B4B"/>
          <w:kern w:val="0"/>
          <w:sz w:val="28"/>
          <w:szCs w:val="28"/>
        </w:rPr>
        <w:t>〔2019〕18号</w:t>
      </w:r>
    </w:p>
    <w:p w14:paraId="190B6756"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各省、自治区、直辖市教育厅（教委），新疆生产建设兵团教育局，有关部门（单位）教育司（局），部属各高等学校、部省合建各高等学校：</w:t>
      </w:r>
    </w:p>
    <w:p w14:paraId="658803F7"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为深入落实全国教育大会和《加快推进教育现代化实施方案（2018—2022年）》精神，贯彻落实新时代全国高校本科教育工作会议和《教育部关于加快建设高水平本科教育 全面提高人才培养能力的意见》、“六卓越</w:t>
      </w:r>
      <w:proofErr w:type="gramStart"/>
      <w:r w:rsidRPr="00507C3D">
        <w:rPr>
          <w:rFonts w:ascii="微软雅黑" w:eastAsia="微软雅黑" w:hAnsi="微软雅黑" w:cs="宋体" w:hint="eastAsia"/>
          <w:color w:val="4B4B4B"/>
          <w:kern w:val="0"/>
          <w:sz w:val="28"/>
          <w:szCs w:val="28"/>
        </w:rPr>
        <w:t>一</w:t>
      </w:r>
      <w:proofErr w:type="gramEnd"/>
      <w:r w:rsidRPr="00507C3D">
        <w:rPr>
          <w:rFonts w:ascii="微软雅黑" w:eastAsia="微软雅黑" w:hAnsi="微软雅黑" w:cs="宋体" w:hint="eastAsia"/>
          <w:color w:val="4B4B4B"/>
          <w:kern w:val="0"/>
          <w:sz w:val="28"/>
          <w:szCs w:val="28"/>
        </w:rPr>
        <w:t>拔尖”计划2.0系列文件要求，推动新工科、新医科、新农科、新文科建设，做强一流本科、建设一流专业、培养一流人才，全面振兴本科教育，提高高校人才培养能力，实现高等教育内涵式发展，经研究，教育部决定全面实施“六卓越</w:t>
      </w:r>
      <w:proofErr w:type="gramStart"/>
      <w:r w:rsidRPr="00507C3D">
        <w:rPr>
          <w:rFonts w:ascii="微软雅黑" w:eastAsia="微软雅黑" w:hAnsi="微软雅黑" w:cs="宋体" w:hint="eastAsia"/>
          <w:color w:val="4B4B4B"/>
          <w:kern w:val="0"/>
          <w:sz w:val="28"/>
          <w:szCs w:val="28"/>
        </w:rPr>
        <w:lastRenderedPageBreak/>
        <w:t>一</w:t>
      </w:r>
      <w:proofErr w:type="gramEnd"/>
      <w:r w:rsidRPr="00507C3D">
        <w:rPr>
          <w:rFonts w:ascii="微软雅黑" w:eastAsia="微软雅黑" w:hAnsi="微软雅黑" w:cs="宋体" w:hint="eastAsia"/>
          <w:color w:val="4B4B4B"/>
          <w:kern w:val="0"/>
          <w:sz w:val="28"/>
          <w:szCs w:val="28"/>
        </w:rPr>
        <w:t>拔尖”计划2.0，启动一流本科专业建设“双万计划”,现将有关事项通知如下。</w:t>
      </w:r>
    </w:p>
    <w:p w14:paraId="2E0CFDA3"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b/>
          <w:bCs/>
          <w:color w:val="4B4B4B"/>
          <w:kern w:val="0"/>
          <w:sz w:val="28"/>
          <w:szCs w:val="28"/>
          <w:bdr w:val="none" w:sz="0" w:space="0" w:color="auto" w:frame="1"/>
        </w:rPr>
        <w:t xml:space="preserve">　　一、主要任务</w:t>
      </w:r>
    </w:p>
    <w:p w14:paraId="436B2710"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2019—2021年，建设10000个左右国家级一流本科专业点和10000个左右省级一流本科专业点。</w:t>
      </w:r>
    </w:p>
    <w:p w14:paraId="00C66A48"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b/>
          <w:bCs/>
          <w:color w:val="4B4B4B"/>
          <w:kern w:val="0"/>
          <w:sz w:val="28"/>
          <w:szCs w:val="28"/>
          <w:bdr w:val="none" w:sz="0" w:space="0" w:color="auto" w:frame="1"/>
        </w:rPr>
        <w:t xml:space="preserve">　　二、建设原则</w:t>
      </w:r>
    </w:p>
    <w:p w14:paraId="56E7FAFC"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面向各类高校。在不同类型的普通本科高校建设一流本科专业，鼓励分类发展、特色发展。</w:t>
      </w:r>
    </w:p>
    <w:p w14:paraId="1C94838C"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面向全部专业。覆盖全部92个本科专业类，分年度开展一流本科专业点建设。</w:t>
      </w:r>
    </w:p>
    <w:p w14:paraId="08874351"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突出示范领跑。建设新工科、新医科、新农科、新文科示范性本科专业，引领带动高校优化专业结构、促进专业建设质量提升，推动形成高水平人才培养体系。</w:t>
      </w:r>
    </w:p>
    <w:p w14:paraId="482E2968"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分“赛道”建设。中央部门所属高校、地方高校名额分列，向地方高校倾斜；鼓励支持高校在服务国家和区域经济社会发展中建设一流本科专业。</w:t>
      </w:r>
    </w:p>
    <w:p w14:paraId="2DF7505A"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“两步走”实施。报送的专业第一步被确定为国家级一流本科专业建设点；教育部组织开展专业认证，通过后再确定为国家级一流本科专业。</w:t>
      </w:r>
    </w:p>
    <w:p w14:paraId="03D250CF"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b/>
          <w:bCs/>
          <w:color w:val="4B4B4B"/>
          <w:kern w:val="0"/>
          <w:sz w:val="28"/>
          <w:szCs w:val="28"/>
          <w:bdr w:val="none" w:sz="0" w:space="0" w:color="auto" w:frame="1"/>
        </w:rPr>
        <w:t xml:space="preserve">　　三、建设方式</w:t>
      </w:r>
    </w:p>
    <w:p w14:paraId="3672CCF2"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1.国家级一流本科专业建设工作分三年完成。每年3月启动，经高校网上报送、教育主管部门或高校提交汇总材料、高等学校教</w:t>
      </w:r>
      <w:r w:rsidRPr="00507C3D">
        <w:rPr>
          <w:rFonts w:ascii="微软雅黑" w:eastAsia="微软雅黑" w:hAnsi="微软雅黑" w:cs="宋体" w:hint="eastAsia"/>
          <w:color w:val="4B4B4B"/>
          <w:kern w:val="0"/>
          <w:sz w:val="28"/>
          <w:szCs w:val="28"/>
        </w:rPr>
        <w:lastRenderedPageBreak/>
        <w:t>学指导委员会提出推荐意见等，确定建设点名单，当年10月公布结果。</w:t>
      </w:r>
    </w:p>
    <w:p w14:paraId="6D2D3F25"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14:paraId="7BDC6978"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3.入选省级一流本科专业建设点的专业，如同时入选国家级一流本科专业建设点，按照国家级一流本科专业建设点公布。空出的省级一流本科专业建设点名额可延至下一年度使用。</w:t>
      </w:r>
    </w:p>
    <w:p w14:paraId="51C72AB0"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4.根据2019、2020年一流本科专业点建设情况，2021年将对各专业类国家级一流本科专业的建设数量和建设进度进行统筹。</w:t>
      </w:r>
    </w:p>
    <w:p w14:paraId="60BD72C9"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b/>
          <w:bCs/>
          <w:color w:val="4B4B4B"/>
          <w:kern w:val="0"/>
          <w:sz w:val="28"/>
          <w:szCs w:val="28"/>
          <w:bdr w:val="none" w:sz="0" w:space="0" w:color="auto" w:frame="1"/>
        </w:rPr>
        <w:t xml:space="preserve">　　四、报送条件</w:t>
      </w:r>
    </w:p>
    <w:p w14:paraId="5EE9627B"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（一）报送高校需具备的条件</w:t>
      </w:r>
    </w:p>
    <w:p w14:paraId="3A74043E"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1.全面落实“以本为本、四个回归”。坚持立德树人，切实巩固人才培养中心地位和本科教学基础地位，把思想政治教育贯穿人才培养全过程，着力深化教育教学改革，全面提升人才培养质量。</w:t>
      </w:r>
    </w:p>
    <w:p w14:paraId="0FD38628"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2.积极推进新工科、新医科、新农科、新文科建设。紧扣国家发展需求，主动适应新一轮科技革命和产业变革，着力深化专业综合改革，优化专业结构，积极发展新兴专业，改造提升传统专业，打造特色优势专业。</w:t>
      </w:r>
    </w:p>
    <w:p w14:paraId="40CE78E2"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lastRenderedPageBreak/>
        <w:t xml:space="preserve">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14:paraId="4C005376"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4.努力培育以人才培养为中心的质量文化。坚持学生中心、产出导向、持续改进的基本理念，建立健全自查自纠的质量保障机制并持续有效实施，将对质量的追求内化为全校师生的共同价值追求和行为自觉。</w:t>
      </w:r>
    </w:p>
    <w:p w14:paraId="438EBC25"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（二）报送专业需具备的条件</w:t>
      </w:r>
    </w:p>
    <w:p w14:paraId="55D4AEF5"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1.专业定位明确。服务面向清晰，适应国家和区域经济社会发展需要，符合学校发展定位和办学方向。</w:t>
      </w:r>
    </w:p>
    <w:p w14:paraId="5B48CCD6"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2.专业管理规范。切实落实本科专业国家标准要求，人才培养方案科学合理，教育教学管理规范有序。近三年未出现重大安全责任事故。</w:t>
      </w:r>
    </w:p>
    <w:p w14:paraId="12E713CC"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3.改革成效突出。持续深化教育教学改革，教育理念先进，教学内容更新及时，方法手段不断创新，以新理念、新形态、新方法引领带动新工科、新医科、新农科、新文科建设。</w:t>
      </w:r>
    </w:p>
    <w:p w14:paraId="45EF3BB8"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4.师资力量雄厚。不断加强师资队伍和基层教学组织建设，教育教学研究活动广泛开展，专业教学团队结构合理、整体素质水平高。</w:t>
      </w:r>
    </w:p>
    <w:p w14:paraId="05D2EE0B"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lastRenderedPageBreak/>
        <w:t xml:space="preserve">　　5.培养质量一流。坚持以学生为中心，促进学生全面发展，有效激发学生学习兴趣和潜能，增强创新精神、实践能力和社会责任感，毕业生行业认可度高、社会整体评价好。</w:t>
      </w:r>
    </w:p>
    <w:p w14:paraId="0802DA91"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b/>
          <w:bCs/>
          <w:color w:val="4B4B4B"/>
          <w:kern w:val="0"/>
          <w:sz w:val="28"/>
          <w:szCs w:val="28"/>
          <w:bdr w:val="none" w:sz="0" w:space="0" w:color="auto" w:frame="1"/>
        </w:rPr>
        <w:t xml:space="preserve">　　五、报送办法</w:t>
      </w:r>
    </w:p>
    <w:p w14:paraId="7087937C"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14:paraId="1C31FFB3"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b/>
          <w:bCs/>
          <w:color w:val="4B4B4B"/>
          <w:kern w:val="0"/>
          <w:sz w:val="28"/>
          <w:szCs w:val="28"/>
          <w:bdr w:val="none" w:sz="0" w:space="0" w:color="auto" w:frame="1"/>
        </w:rPr>
        <w:t xml:space="preserve">　　六、组织保障</w:t>
      </w:r>
    </w:p>
    <w:p w14:paraId="452B2F0C"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（一）构建三级实施体系。教育部等14个“六卓越</w:t>
      </w:r>
      <w:proofErr w:type="gramStart"/>
      <w:r w:rsidRPr="00507C3D">
        <w:rPr>
          <w:rFonts w:ascii="微软雅黑" w:eastAsia="微软雅黑" w:hAnsi="微软雅黑" w:cs="宋体" w:hint="eastAsia"/>
          <w:color w:val="4B4B4B"/>
          <w:kern w:val="0"/>
          <w:sz w:val="28"/>
          <w:szCs w:val="28"/>
        </w:rPr>
        <w:t>一</w:t>
      </w:r>
      <w:proofErr w:type="gramEnd"/>
      <w:r w:rsidRPr="00507C3D">
        <w:rPr>
          <w:rFonts w:ascii="微软雅黑" w:eastAsia="微软雅黑" w:hAnsi="微软雅黑" w:cs="宋体" w:hint="eastAsia"/>
          <w:color w:val="4B4B4B"/>
          <w:kern w:val="0"/>
          <w:sz w:val="28"/>
          <w:szCs w:val="28"/>
        </w:rPr>
        <w:t>拔尖”计划2.0负责部委（单位）统筹一流本科专业建设“双万计划”组织实施工作，指导各地、各高校落实有关文件要求，加强一流本科专业建设，推动构建国家、地方、高校三级实施体系。</w:t>
      </w:r>
    </w:p>
    <w:p w14:paraId="24B8C1F8"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（二）完善经费保障。中央部门所属高校应当统筹利用中央高校教育教学改革</w:t>
      </w:r>
      <w:proofErr w:type="gramStart"/>
      <w:r w:rsidRPr="00507C3D">
        <w:rPr>
          <w:rFonts w:ascii="微软雅黑" w:eastAsia="微软雅黑" w:hAnsi="微软雅黑" w:cs="宋体" w:hint="eastAsia"/>
          <w:color w:val="4B4B4B"/>
          <w:kern w:val="0"/>
          <w:sz w:val="28"/>
          <w:szCs w:val="28"/>
        </w:rPr>
        <w:t>专项等</w:t>
      </w:r>
      <w:proofErr w:type="gramEnd"/>
      <w:r w:rsidRPr="00507C3D">
        <w:rPr>
          <w:rFonts w:ascii="微软雅黑" w:eastAsia="微软雅黑" w:hAnsi="微软雅黑" w:cs="宋体" w:hint="eastAsia"/>
          <w:color w:val="4B4B4B"/>
          <w:kern w:val="0"/>
          <w:sz w:val="28"/>
          <w:szCs w:val="28"/>
        </w:rPr>
        <w:t>中央高校预算拨款和其他各类资源，各地应当统筹地方财政高等教育资金和中央支持地方高校改革发展资金，支持一流本科专业建设。</w:t>
      </w:r>
    </w:p>
    <w:p w14:paraId="5EF5FC11"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（三）建立动态调整机制。教育部和省级教育行政部门加强对计划实施过程跟踪，针对一流本科专业建设中存在的问题，提出改进意见建议，对于建设质量不达标、出现严重质量问题的专业建设点予以撤销。</w:t>
      </w:r>
    </w:p>
    <w:p w14:paraId="1DD40220"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b/>
          <w:bCs/>
          <w:color w:val="4B4B4B"/>
          <w:kern w:val="0"/>
          <w:sz w:val="28"/>
          <w:szCs w:val="28"/>
          <w:bdr w:val="none" w:sz="0" w:space="0" w:color="auto" w:frame="1"/>
        </w:rPr>
        <w:t xml:space="preserve">　　七、关于2019年国家级一流本科专业建设点报送工作</w:t>
      </w:r>
    </w:p>
    <w:p w14:paraId="69625951"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lastRenderedPageBreak/>
        <w:t xml:space="preserve">　　1.报送数量。中央部门所属高校、部省合建高校2019年度报送的专业点数不超过本校本科专业布点数25%；各省级教育行政部门2019年度报送专业点数量不超过本地所属地方高校本科专业布点总数的15%。</w:t>
      </w:r>
    </w:p>
    <w:p w14:paraId="7D097481"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2.在线登录账号和密码。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14:paraId="6EC77145"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3.在线报送时间和网址。在线报送时间为2019年4月20日—6月30日，请登录“国家级一流本科专业建设报送系统”（网址：http://udb.heec.edu.cn），按照系统提示填报。</w:t>
      </w:r>
    </w:p>
    <w:p w14:paraId="7451605F"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4.在线审核和提交。各省级教育行政部门、中央有关部门（单位）教育司（局）须在2019年6月30日前，登录报送系统，严格按照限额，完成所属高校报送信息的在线审核和提交工作。</w:t>
      </w:r>
    </w:p>
    <w:p w14:paraId="70EB0389"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14:paraId="02F395AF"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lastRenderedPageBreak/>
        <w:t xml:space="preserve">　　联系人及电话：教育部高等教育司，朱蓓蓓、徐健，010-66097823；教育部高等教育教学评估中心，郭栋、南方，010-82213390、82213395。</w:t>
      </w:r>
    </w:p>
    <w:p w14:paraId="55C2183D"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附件：1.</w:t>
      </w:r>
      <w:hyperlink r:id="rId4" w:tgtFrame="_blank" w:history="1">
        <w:r w:rsidRPr="00507C3D">
          <w:rPr>
            <w:rFonts w:ascii="微软雅黑" w:eastAsia="微软雅黑" w:hAnsi="微软雅黑" w:cs="宋体" w:hint="eastAsia"/>
            <w:color w:val="0000FF"/>
            <w:kern w:val="0"/>
            <w:sz w:val="28"/>
            <w:szCs w:val="28"/>
            <w:u w:val="single"/>
            <w:bdr w:val="none" w:sz="0" w:space="0" w:color="auto" w:frame="1"/>
          </w:rPr>
          <w:t>国家级一流本科专业分专业类建设规划</w:t>
        </w:r>
      </w:hyperlink>
    </w:p>
    <w:p w14:paraId="1228C8D0" w14:textId="77777777" w:rsidR="00507C3D" w:rsidRPr="00507C3D" w:rsidRDefault="00507C3D" w:rsidP="00507C3D">
      <w:pPr>
        <w:widowControl/>
        <w:spacing w:line="480" w:lineRule="atLeast"/>
        <w:jc w:val="lef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 xml:space="preserve">　　　　　2.</w:t>
      </w:r>
      <w:hyperlink r:id="rId5" w:tgtFrame="_blank" w:history="1">
        <w:r w:rsidRPr="00507C3D">
          <w:rPr>
            <w:rFonts w:ascii="微软雅黑" w:eastAsia="微软雅黑" w:hAnsi="微软雅黑" w:cs="宋体" w:hint="eastAsia"/>
            <w:color w:val="0000FF"/>
            <w:kern w:val="0"/>
            <w:sz w:val="28"/>
            <w:szCs w:val="28"/>
            <w:u w:val="single"/>
            <w:bdr w:val="none" w:sz="0" w:space="0" w:color="auto" w:frame="1"/>
          </w:rPr>
          <w:t>国家级一流本科专业建设点信息采集表</w:t>
        </w:r>
      </w:hyperlink>
    </w:p>
    <w:p w14:paraId="41AC8637" w14:textId="77777777" w:rsidR="00507C3D" w:rsidRPr="00507C3D" w:rsidRDefault="00507C3D" w:rsidP="00507C3D">
      <w:pPr>
        <w:widowControl/>
        <w:spacing w:line="480" w:lineRule="atLeast"/>
        <w:jc w:val="righ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教育部办公厅</w:t>
      </w:r>
    </w:p>
    <w:p w14:paraId="12A5BDBB" w14:textId="77777777" w:rsidR="00507C3D" w:rsidRPr="00507C3D" w:rsidRDefault="00507C3D" w:rsidP="00507C3D">
      <w:pPr>
        <w:widowControl/>
        <w:spacing w:line="480" w:lineRule="atLeast"/>
        <w:jc w:val="right"/>
        <w:rPr>
          <w:rFonts w:ascii="微软雅黑" w:eastAsia="微软雅黑" w:hAnsi="微软雅黑" w:cs="宋体" w:hint="eastAsia"/>
          <w:color w:val="4B4B4B"/>
          <w:kern w:val="0"/>
          <w:sz w:val="28"/>
          <w:szCs w:val="28"/>
        </w:rPr>
      </w:pPr>
      <w:r w:rsidRPr="00507C3D">
        <w:rPr>
          <w:rFonts w:ascii="微软雅黑" w:eastAsia="微软雅黑" w:hAnsi="微软雅黑" w:cs="宋体" w:hint="eastAsia"/>
          <w:color w:val="4B4B4B"/>
          <w:kern w:val="0"/>
          <w:sz w:val="28"/>
          <w:szCs w:val="28"/>
        </w:rPr>
        <w:t>2019年4月2日</w:t>
      </w:r>
    </w:p>
    <w:p w14:paraId="11D0E42A" w14:textId="77777777" w:rsidR="00D6027E" w:rsidRPr="00507C3D" w:rsidRDefault="00D6027E">
      <w:pPr>
        <w:rPr>
          <w:sz w:val="28"/>
          <w:szCs w:val="28"/>
        </w:rPr>
      </w:pPr>
    </w:p>
    <w:sectPr w:rsidR="00D6027E" w:rsidRPr="00507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3D"/>
    <w:rsid w:val="00507C3D"/>
    <w:rsid w:val="00D6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CDA9"/>
  <w15:chartTrackingRefBased/>
  <w15:docId w15:val="{F09FBAFC-8DFC-4778-876A-ADF6C84C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07C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C3D"/>
    <w:rPr>
      <w:rFonts w:ascii="宋体" w:eastAsia="宋体" w:hAnsi="宋体" w:cs="宋体"/>
      <w:b/>
      <w:bCs/>
      <w:kern w:val="36"/>
      <w:sz w:val="48"/>
      <w:szCs w:val="48"/>
    </w:rPr>
  </w:style>
  <w:style w:type="paragraph" w:styleId="a3">
    <w:name w:val="Normal (Web)"/>
    <w:basedOn w:val="a"/>
    <w:uiPriority w:val="99"/>
    <w:semiHidden/>
    <w:unhideWhenUsed/>
    <w:rsid w:val="00507C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7C3D"/>
    <w:rPr>
      <w:b/>
      <w:bCs/>
    </w:rPr>
  </w:style>
  <w:style w:type="character" w:styleId="a5">
    <w:name w:val="Hyperlink"/>
    <w:basedOn w:val="a0"/>
    <w:uiPriority w:val="99"/>
    <w:semiHidden/>
    <w:unhideWhenUsed/>
    <w:rsid w:val="00507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172317">
      <w:bodyDiv w:val="1"/>
      <w:marLeft w:val="0"/>
      <w:marRight w:val="0"/>
      <w:marTop w:val="0"/>
      <w:marBottom w:val="0"/>
      <w:divBdr>
        <w:top w:val="none" w:sz="0" w:space="0" w:color="auto"/>
        <w:left w:val="none" w:sz="0" w:space="0" w:color="auto"/>
        <w:bottom w:val="none" w:sz="0" w:space="0" w:color="auto"/>
        <w:right w:val="none" w:sz="0" w:space="0" w:color="auto"/>
      </w:divBdr>
      <w:divsChild>
        <w:div w:id="1045326795">
          <w:marLeft w:val="0"/>
          <w:marRight w:val="0"/>
          <w:marTop w:val="0"/>
          <w:marBottom w:val="0"/>
          <w:divBdr>
            <w:top w:val="none" w:sz="0" w:space="0" w:color="auto"/>
            <w:left w:val="none" w:sz="0" w:space="0" w:color="auto"/>
            <w:bottom w:val="none" w:sz="0" w:space="0" w:color="auto"/>
            <w:right w:val="none" w:sz="0" w:space="0" w:color="auto"/>
          </w:divBdr>
          <w:divsChild>
            <w:div w:id="181436871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rcsite/A08/s7056/201904/W020190409566973965302.docx" TargetMode="External"/><Relationship Id="rId4" Type="http://schemas.openxmlformats.org/officeDocument/2006/relationships/hyperlink" Target="http://www.moe.gov.cn/srcsite/A08/s7056/201904/W02019040956697395814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2020-10-13T03:49:00Z</dcterms:created>
  <dcterms:modified xsi:type="dcterms:W3CDTF">2020-10-13T03:50:00Z</dcterms:modified>
</cp:coreProperties>
</file>